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4,541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i/>
          <w:iCs/>
        </w:rPr>
        <w:t xml:space="preserve">Manuscript last updated: 2025-07-26 11:48:40.627638</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evaluated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special emphasis on systematic evaluation of fitness of data in relation to the study design and statistical analysis for a particular research question, and pre-registration of study protocols prior to initiation and analysis. Pre-specified criteria will assess agreement of treatment effect estimates between RCTs and their respective emulations. Through extensive sensitivity analyses benchmarked against RCT results, the ENCORE project aims to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2023</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non-interventional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3,4</w:t>
      </w:r>
      <w:r>
        <w:t xml:space="preserve"> </w:t>
      </w:r>
      <w:r>
        <w:t xml:space="preserve">adoption of changes in treatment guidelines over time in routine clinical care and the inability to measure and emulate common eligibility criteria, including prognostic factors, and standardized endpoint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would enhance increase confidence in the interpretability of non-interventional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evaluated when non-interventional studies can come to causal conclusions on treatment effects by benchmarking results against RCTs under the assumption that well-designed and conducted RCT findings reflect causal treatment effects. In settings where the RCT designs could be emulated well, non-interventional studies were able to reach similar conclusions.</w:t>
      </w:r>
      <w:r>
        <w:rPr>
          <w:vertAlign w:val="superscript"/>
        </w:rPr>
        <w:t xml:space="preserve">9</w:t>
      </w:r>
      <w:r>
        <w:t xml:space="preserve"> </w:t>
      </w:r>
      <w:r>
        <w:t xml:space="preserve">However, this prior work from RCT-DUPLICATE focused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clarify when non-interventional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types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trials that challenged existing treatment policies)</w:t>
      </w:r>
    </w:p>
    <w:p>
      <w:pPr>
        <w:pStyle w:val="FirstParagraph"/>
      </w:pPr>
      <w:r>
        <w:t xml:space="preserve">The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15,16</w:t>
      </w:r>
      <w:r>
        <w:t xml:space="preserve">, imaging-based evaluations still require a level of granularity which is not well reflected in chart-abstracted assessments of a patient’s progression in routine care.</w:t>
      </w:r>
      <w:r>
        <w:rPr>
          <w:vertAlign w:val="superscript"/>
        </w:rPr>
        <w:t xml:space="preserve">17,18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(including formal power calculations and assessment of sufficient balance after propensity score matching or weighting)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random effects (primary; weights reflect the inverse of the variance of each database study plus an additional variance term that quantifies the assumed heterogeneity between databases) and fixed effects (secondary; weights reflect the inverse of the variance of each database study)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w:t>
      </w:r>
      <w:r>
        <w:rPr>
          <w:vertAlign w:val="superscript"/>
        </w:rPr>
        <w:t xml:space="preserve">28</w:t>
      </w:r>
      <w:r>
        <w:t xml:space="preserve">,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non-interventional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29</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whether the overall number of events, unstratified by exposure, is sufficient such that a significant difference can be detected based on the original RCT-reported hazard ratio (HR), the statistical power (1-</w:t>
      </w:r>
      <m:oMath>
        <m:r>
          <m:t>β</m:t>
        </m:r>
      </m:oMath>
      <w:r>
        <w:t xml:space="preserve"> </w:t>
      </w:r>
      <w:r>
        <w:t xml:space="preserve">with a 2-sided</w:t>
      </w:r>
      <w:r>
        <w:t xml:space="preserve"> </w:t>
      </w:r>
      <m:oMath>
        <m:r>
          <m:t>α</m:t>
        </m:r>
      </m:oMath>
      <w:r>
        <w:t xml:space="preserve"> </w:t>
      </w:r>
      <w:r>
        <w:t xml:space="preserve">of 0.05) will be estimated using Schoenfeld’s sample-size formula for the proportional-hazards regression model.</w:t>
      </w:r>
      <w:r>
        <w:rPr>
          <w:vertAlign w:val="superscript"/>
        </w:rPr>
        <w:t xml:space="preserve">30</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8,31</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(log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32</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33</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34,35</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36</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37</w:t>
      </w:r>
    </w:p>
    <w:p>
      <w:pPr>
        <w:pStyle w:val="BodyText"/>
      </w:pPr>
      <w:r>
        <w:t xml:space="preserve">While MAR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36</w:t>
      </w:r>
      <w:r>
        <w:t xml:space="preserve"> </w:t>
      </w:r>
      <w:r>
        <w:t xml:space="preserve">Hence, methodologies which retain otherwise eligible patients and give the potential to adjust for a broader set of prognostic factors (e.g., multiple imputation</w:t>
      </w:r>
      <w:r>
        <w:rPr>
          <w:vertAlign w:val="superscript"/>
        </w:rPr>
        <w:t xml:space="preserve">38</w:t>
      </w:r>
      <w:r>
        <w:t xml:space="preserve"> </w:t>
      </w:r>
      <w:r>
        <w:t xml:space="preserve">or doubly robust methods</w:t>
      </w:r>
      <w:r>
        <w:rPr>
          <w:vertAlign w:val="superscript"/>
        </w:rPr>
        <w:t xml:space="preserve">39</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40</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43,44</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28</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41</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8,31</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8,31</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non-interventional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t xml:space="preserve">1.</w:t>
      </w:r>
      <w:r>
        <w:t xml:space="preserve"> </w:t>
      </w:r>
      <w:r>
        <w:t xml:space="preserve">	</w:t>
      </w:r>
      <w:r>
        <w:t xml:space="preserve">Framework for FDA’s real-world evidence program (last accessed 11/28/2024). (2018).at &lt;</w:t>
      </w:r>
      <w:hyperlink r:id="rId41">
        <w:r>
          <w:rPr>
            <w:rStyle w:val="Hyperlink"/>
          </w:rPr>
          <w:t xml:space="preserve">https://www.fda.gov/media/120060/download?attachment</w:t>
        </w:r>
      </w:hyperlink>
      <w:r>
        <w:t xml:space="preserve">&gt;</w:t>
      </w:r>
    </w:p>
    <w:bookmarkEnd w:id="42"/>
    <w:bookmarkStart w:id="43" w:name="ref-mullard20242023"/>
    <w:p>
      <w:pPr>
        <w:pStyle w:val="Bibliography"/>
      </w:pPr>
      <w:r>
        <w:t xml:space="preserve">2.</w:t>
      </w:r>
      <w:r>
        <w:t xml:space="preserve"> </w:t>
      </w:r>
      <w:r>
        <w:t xml:space="preserve">	</w:t>
      </w:r>
      <w:r>
        <w:t xml:space="preserve">Mullard, A. 2023 FDA approvals.</w:t>
      </w:r>
      <w:r>
        <w:t xml:space="preserve"> </w:t>
      </w:r>
      <w:r>
        <w:rPr>
          <w:i/>
          <w:iCs/>
        </w:rPr>
        <w:t xml:space="preserve">Nat Rev Drug Discov</w:t>
      </w:r>
      <w:r>
        <w:t xml:space="preserve"> </w:t>
      </w:r>
      <w:r>
        <w:rPr>
          <w:b/>
          <w:bCs/>
        </w:rPr>
        <w:t xml:space="preserve">23</w:t>
      </w:r>
      <w:r>
        <w:t xml:space="preserve">, 88–95 (2024).</w:t>
      </w:r>
    </w:p>
    <w:bookmarkEnd w:id="43"/>
    <w:bookmarkStart w:id="45" w:name="ref-Merola2022"/>
    <w:p>
      <w:pPr>
        <w:pStyle w:val="Bibliography"/>
      </w:pPr>
      <w:r>
        <w:t xml:space="preserve">3.</w:t>
      </w:r>
      <w:r>
        <w:t xml:space="preserve"> </w:t>
      </w:r>
      <w:r>
        <w:t xml:space="preserve">	</w:t>
      </w:r>
      <w:r>
        <w:t xml:space="preserve">Merola, D., Schneeweiss, S., Schrag, D., Lii, J. &amp; Lin, K. J.</w:t>
      </w:r>
      <w:r>
        <w:t xml:space="preserve"> </w:t>
      </w:r>
      <w:hyperlink r:id="rId44">
        <w:r>
          <w:rPr>
            <w:rStyle w:val="Hyperlink"/>
          </w:rPr>
          <w:t xml:space="preserve">An algorithm to predict data completeness in oncology electronic medical records for comparative effectiveness research</w:t>
        </w:r>
      </w:hyperlink>
      <w:r>
        <w:t xml:space="preserve">.</w:t>
      </w:r>
      <w:r>
        <w:t xml:space="preserve"> </w:t>
      </w:r>
      <w:r>
        <w:rPr>
          <w:i/>
          <w:iCs/>
        </w:rPr>
        <w:t xml:space="preserve">Annals of Epidemiology</w:t>
      </w:r>
      <w:r>
        <w:t xml:space="preserve"> </w:t>
      </w:r>
      <w:r>
        <w:rPr>
          <w:b/>
          <w:bCs/>
        </w:rPr>
        <w:t xml:space="preserve">76</w:t>
      </w:r>
      <w:r>
        <w:t xml:space="preserve">, 143–149 (2022).</w:t>
      </w:r>
    </w:p>
    <w:bookmarkEnd w:id="45"/>
    <w:bookmarkStart w:id="46" w:name="ref-joshua2022longitudinal"/>
    <w:p>
      <w:pPr>
        <w:pStyle w:val="Bibliography"/>
      </w:pPr>
      <w:r>
        <w:t xml:space="preserve">4.</w:t>
      </w:r>
      <w:r>
        <w:t xml:space="preserve"> </w:t>
      </w:r>
      <w:r>
        <w:t xml:space="preserve">	</w:t>
      </w:r>
      <w:r>
        <w:t xml:space="preserve">Joshua Lin, K.</w:t>
      </w:r>
      <w:r>
        <w:t xml:space="preserve"> </w:t>
      </w:r>
      <w:r>
        <w:rPr>
          <w:i/>
          <w:iCs/>
        </w:rPr>
        <w:t xml:space="preserve">et al.</w:t>
      </w:r>
      <w:r>
        <w:t xml:space="preserve"> </w:t>
      </w:r>
      <w:r>
        <w:t xml:space="preserve">Longitudinal data discontinuity in electronic health records and consequences for medication effectiveness studies.</w:t>
      </w:r>
      <w:r>
        <w:t xml:space="preserve"> </w:t>
      </w:r>
      <w:r>
        <w:rPr>
          <w:i/>
          <w:iCs/>
        </w:rPr>
        <w:t xml:space="preserve">Clinical Pharmacology &amp; Therapeutics</w:t>
      </w:r>
      <w:r>
        <w:t xml:space="preserve"> </w:t>
      </w:r>
      <w:r>
        <w:rPr>
          <w:b/>
          <w:bCs/>
        </w:rPr>
        <w:t xml:space="preserve">111</w:t>
      </w:r>
      <w:r>
        <w:t xml:space="preserve">, 243–251 (2022).</w:t>
      </w:r>
    </w:p>
    <w:bookmarkEnd w:id="46"/>
    <w:bookmarkStart w:id="47" w:name="ref-rider2024emulations"/>
    <w:p>
      <w:pPr>
        <w:pStyle w:val="Bibliography"/>
      </w:pPr>
      <w:r>
        <w:t xml:space="preserve">5.</w:t>
      </w:r>
      <w:r>
        <w:t xml:space="preserve"> </w:t>
      </w:r>
      <w:r>
        <w:t xml:space="preserve">	</w:t>
      </w:r>
      <w:r>
        <w:t xml:space="preserve">Rider, J. R.</w:t>
      </w:r>
      <w:r>
        <w:t xml:space="preserve"> </w:t>
      </w:r>
      <w:r>
        <w:rPr>
          <w:i/>
          <w:iCs/>
        </w:rPr>
        <w:t xml:space="preserve">et al.</w:t>
      </w:r>
      <w:r>
        <w:t xml:space="preserve"> </w:t>
      </w:r>
      <w:r>
        <w:t xml:space="preserve">Emulations of oncology trials using real-world data: A systematic literature review.</w:t>
      </w:r>
      <w:r>
        <w:t xml:space="preserve"> </w:t>
      </w:r>
      <w:r>
        <w:rPr>
          <w:i/>
          <w:iCs/>
        </w:rPr>
        <w:t xml:space="preserve">American journal of epidemiology</w:t>
      </w:r>
      <w:r>
        <w:t xml:space="preserve"> </w:t>
      </w:r>
      <w:r>
        <w:t xml:space="preserve">kwae346 (2024).</w:t>
      </w:r>
    </w:p>
    <w:bookmarkEnd w:id="47"/>
    <w:bookmarkStart w:id="48" w:name="ref-merola2023aetion"/>
    <w:p>
      <w:pPr>
        <w:pStyle w:val="Bibliography"/>
      </w:pPr>
      <w:r>
        <w:t xml:space="preserve">6.</w:t>
      </w:r>
      <w:r>
        <w:t xml:space="preserve"> </w:t>
      </w:r>
      <w:r>
        <w:t xml:space="preserve">	</w:t>
      </w:r>
      <w:r>
        <w:t xml:space="preserve">Merola, D.</w:t>
      </w:r>
      <w:r>
        <w:t xml:space="preserve"> </w:t>
      </w:r>
      <w:r>
        <w:rPr>
          <w:i/>
          <w:iCs/>
        </w:rPr>
        <w:t xml:space="preserve">et al.</w:t>
      </w:r>
      <w:r>
        <w:t xml:space="preserve"> </w:t>
      </w:r>
      <w:r>
        <w:t xml:space="preserve">The aetion coalition to advance real-world evidence through randomized controlled trial emulation initiative: oncology.</w:t>
      </w:r>
      <w:r>
        <w:t xml:space="preserve"> </w:t>
      </w:r>
      <w:r>
        <w:rPr>
          <w:i/>
          <w:iCs/>
        </w:rPr>
        <w:t xml:space="preserve">Clinical Pharmacology &amp; Therapeutics</w:t>
      </w:r>
      <w:r>
        <w:t xml:space="preserve"> </w:t>
      </w:r>
      <w:r>
        <w:rPr>
          <w:b/>
          <w:bCs/>
        </w:rPr>
        <w:t xml:space="preserve">113</w:t>
      </w:r>
      <w:r>
        <w:t xml:space="preserve">, 1217–1222 (2023).</w:t>
      </w:r>
    </w:p>
    <w:bookmarkEnd w:id="48"/>
    <w:bookmarkStart w:id="49" w:name="ref-merola2024calibrating"/>
    <w:p>
      <w:pPr>
        <w:pStyle w:val="Bibliography"/>
      </w:pPr>
      <w:r>
        <w:t xml:space="preserve">7.</w:t>
      </w:r>
      <w:r>
        <w:t xml:space="preserve"> </w:t>
      </w:r>
      <w:r>
        <w:t xml:space="preserve">	</w:t>
      </w:r>
      <w:r>
        <w:t xml:space="preserve">Merola, D.</w:t>
      </w:r>
      <w:r>
        <w:t xml:space="preserve"> </w:t>
      </w:r>
      <w:r>
        <w:rPr>
          <w:i/>
          <w:iCs/>
        </w:rPr>
        <w:t xml:space="preserve">et al.</w:t>
      </w:r>
      <w:r>
        <w:t xml:space="preserve"> </w:t>
      </w:r>
      <w:r>
        <w:t xml:space="preserve">Calibrating observational health record data against a randomized trial.</w:t>
      </w:r>
      <w:r>
        <w:t xml:space="preserve"> </w:t>
      </w:r>
      <w:r>
        <w:rPr>
          <w:i/>
          <w:iCs/>
        </w:rPr>
        <w:t xml:space="preserve">JAMA Network Open</w:t>
      </w:r>
      <w:r>
        <w:t xml:space="preserve"> </w:t>
      </w:r>
      <w:r>
        <w:rPr>
          <w:b/>
          <w:bCs/>
        </w:rPr>
        <w:t xml:space="preserve">7</w:t>
      </w:r>
      <w:r>
        <w:t xml:space="preserve">, e2436535–e2436535 (2024).</w:t>
      </w:r>
    </w:p>
    <w:bookmarkEnd w:id="49"/>
    <w:bookmarkStart w:id="51" w:name="ref-wang2023emulation"/>
    <w:p>
      <w:pPr>
        <w:pStyle w:val="Bibliography"/>
      </w:pPr>
      <w:r>
        <w:t xml:space="preserve">8.</w:t>
      </w:r>
      <w:r>
        <w:t xml:space="preserve"> </w:t>
      </w:r>
      <w:r>
        <w:t xml:space="preserve">	</w:t>
      </w:r>
      <w:r>
        <w:t xml:space="preserve">Wang, S. V.</w:t>
      </w:r>
      <w:r>
        <w:t xml:space="preserve"> </w:t>
      </w:r>
      <w:r>
        <w:rPr>
          <w:i/>
          <w:iCs/>
        </w:rPr>
        <w:t xml:space="preserve">et al.</w:t>
      </w:r>
      <w:r>
        <w:t xml:space="preserve"> </w:t>
      </w:r>
      <w:hyperlink r:id="rId50">
        <w:r>
          <w:rPr>
            <w:rStyle w:val="Hyperlink"/>
          </w:rPr>
          <w:t xml:space="preserve">Emulation of randomized clinical trials with nonrandomized database analyses: Results of 32 clinical trials</w:t>
        </w:r>
      </w:hyperlink>
      <w:r>
        <w:t xml:space="preserve">.</w:t>
      </w:r>
      <w:r>
        <w:t xml:space="preserve"> </w:t>
      </w:r>
      <w:r>
        <w:rPr>
          <w:i/>
          <w:iCs/>
        </w:rPr>
        <w:t xml:space="preserve">Jama</w:t>
      </w:r>
      <w:r>
        <w:t xml:space="preserve"> </w:t>
      </w:r>
      <w:r>
        <w:rPr>
          <w:b/>
          <w:bCs/>
        </w:rPr>
        <w:t xml:space="preserve">329</w:t>
      </w:r>
      <w:r>
        <w:t xml:space="preserve">, 1376–1385 (2023).</w:t>
      </w:r>
    </w:p>
    <w:bookmarkEnd w:id="51"/>
    <w:bookmarkStart w:id="53" w:name="ref-heyard2024design"/>
    <w:p>
      <w:pPr>
        <w:pStyle w:val="Bibliography"/>
      </w:pPr>
      <w:r>
        <w:t xml:space="preserve">9.</w:t>
      </w:r>
      <w:r>
        <w:t xml:space="preserve"> </w:t>
      </w:r>
      <w:r>
        <w:t xml:space="preserve">	</w:t>
      </w:r>
      <w:r>
        <w:t xml:space="preserve">Heyard, R., Held, L., Schneeweiss, S. &amp; Wang, S. V.</w:t>
      </w:r>
      <w:r>
        <w:t xml:space="preserve"> </w:t>
      </w:r>
      <w:hyperlink r:id="rId52">
        <w:r>
          <w:rPr>
            <w:rStyle w:val="Hyperlink"/>
          </w:rPr>
          <w:t xml:space="preserve">Design differences and variation in results between randomised trials and non-randomised emulations: Meta-analysis of RCT-DUPLICATE data</w:t>
        </w:r>
      </w:hyperlink>
      <w:r>
        <w:t xml:space="preserve">.</w:t>
      </w:r>
      <w:r>
        <w:t xml:space="preserve"> </w:t>
      </w:r>
      <w:r>
        <w:rPr>
          <w:i/>
          <w:iCs/>
        </w:rPr>
        <w:t xml:space="preserve">BMJ medicine</w:t>
      </w:r>
      <w:r>
        <w:t xml:space="preserve"> </w:t>
      </w:r>
      <w:r>
        <w:rPr>
          <w:b/>
          <w:bCs/>
        </w:rPr>
        <w:t xml:space="preserve">3</w:t>
      </w:r>
      <w:r>
        <w:t xml:space="preserve">, (2024).</w:t>
      </w:r>
    </w:p>
    <w:bookmarkEnd w:id="53"/>
    <w:bookmarkStart w:id="55" w:name="ref-encoreFDA"/>
    <w:p>
      <w:pPr>
        <w:pStyle w:val="Bibliography"/>
      </w:pPr>
      <w:r>
        <w:t xml:space="preserve">10.</w:t>
      </w:r>
      <w:r>
        <w:t xml:space="preserve"> </w:t>
      </w:r>
      <w:r>
        <w:t xml:space="preserve">	</w:t>
      </w:r>
      <w:r>
        <w:t xml:space="preserve">Calibrating real-world evidence studies in oncology against randomized trials: ENCORE (last accessed 11/28/2024). (2024).at &lt;</w:t>
      </w:r>
      <w:hyperlink r:id="rId54">
        <w:r>
          <w:rPr>
            <w:rStyle w:val="Hyperlink"/>
          </w:rPr>
          <w:t xml:space="preserve">https://www.fda.gov/about-fda/oncology-center-excellence/calibrating-real-world-evidence-studies-oncology-against-randomized-trials-encore</w:t>
        </w:r>
      </w:hyperlink>
      <w:r>
        <w:t xml:space="preserve">&gt;</w:t>
      </w:r>
    </w:p>
    <w:bookmarkEnd w:id="55"/>
    <w:bookmarkStart w:id="56" w:name="ref-rivera2024oncology"/>
    <w:p>
      <w:pPr>
        <w:pStyle w:val="Bibliography"/>
      </w:pPr>
      <w:r>
        <w:t xml:space="preserve">11.</w:t>
      </w:r>
      <w:r>
        <w:t xml:space="preserve"> </w:t>
      </w:r>
      <w:r>
        <w:t xml:space="preserve">	</w:t>
      </w:r>
      <w:r>
        <w:t xml:space="preserve">Rivera, D. R.</w:t>
      </w:r>
      <w:r>
        <w:t xml:space="preserve"> </w:t>
      </w:r>
      <w:r>
        <w:rPr>
          <w:i/>
          <w:iCs/>
        </w:rPr>
        <w:t xml:space="preserve">et al.</w:t>
      </w:r>
      <w:r>
        <w:t xml:space="preserve"> </w:t>
      </w:r>
      <w:r>
        <w:t xml:space="preserve">The oncology QCARD initiative: Fostering efficient evaluation of initial real-world data proposals.</w:t>
      </w:r>
      <w:r>
        <w:t xml:space="preserve"> </w:t>
      </w:r>
      <w:r>
        <w:rPr>
          <w:i/>
          <w:iCs/>
        </w:rPr>
        <w:t xml:space="preserve">Pharmacoepidemiology and Drug Safety</w:t>
      </w:r>
      <w:r>
        <w:t xml:space="preserve"> </w:t>
      </w:r>
      <w:r>
        <w:rPr>
          <w:b/>
          <w:bCs/>
        </w:rPr>
        <w:t xml:space="preserve">33</w:t>
      </w:r>
      <w:r>
        <w:t xml:space="preserve">, e5818 (2024).</w:t>
      </w:r>
    </w:p>
    <w:bookmarkEnd w:id="56"/>
    <w:bookmarkStart w:id="57" w:name="ref-gatto2022structured"/>
    <w:p>
      <w:pPr>
        <w:pStyle w:val="Bibliography"/>
      </w:pPr>
      <w:r>
        <w:t xml:space="preserve">12.</w:t>
      </w:r>
      <w:r>
        <w:t xml:space="preserve"> </w:t>
      </w:r>
      <w:r>
        <w:t xml:space="preserve">	</w:t>
      </w:r>
      <w:r>
        <w:t xml:space="preserve">Gatto, N. M.</w:t>
      </w:r>
      <w:r>
        <w:t xml:space="preserve"> </w:t>
      </w:r>
      <w:r>
        <w:rPr>
          <w:i/>
          <w:iCs/>
        </w:rPr>
        <w:t xml:space="preserve">et al.</w:t>
      </w:r>
      <w:r>
        <w:t xml:space="preserve"> </w:t>
      </w:r>
      <w:r>
        <w:t xml:space="preserve">The structured process to identify fit-for-purpose data: A data feasibility assessment framework.</w:t>
      </w:r>
      <w:r>
        <w:t xml:space="preserve"> </w:t>
      </w:r>
      <w:r>
        <w:rPr>
          <w:i/>
          <w:iCs/>
        </w:rPr>
        <w:t xml:space="preserve">Clinical Pharmacology &amp; Therapeutics</w:t>
      </w:r>
      <w:r>
        <w:t xml:space="preserve"> </w:t>
      </w:r>
      <w:r>
        <w:rPr>
          <w:b/>
          <w:bCs/>
        </w:rPr>
        <w:t xml:space="preserve">111</w:t>
      </w:r>
      <w:r>
        <w:t xml:space="preserve">, 122–134 (2022).</w:t>
      </w:r>
    </w:p>
    <w:bookmarkEnd w:id="57"/>
    <w:bookmarkStart w:id="58" w:name="ref-tasneem2012database"/>
    <w:p>
      <w:pPr>
        <w:pStyle w:val="Bibliography"/>
      </w:pPr>
      <w:r>
        <w:t xml:space="preserve">13.</w:t>
      </w:r>
      <w:r>
        <w:t xml:space="preserve"> </w:t>
      </w:r>
      <w:r>
        <w:t xml:space="preserve">	</w:t>
      </w:r>
      <w:r>
        <w:t xml:space="preserve">Tasneem, A.</w:t>
      </w:r>
      <w:r>
        <w:t xml:space="preserve"> </w:t>
      </w:r>
      <w:r>
        <w:rPr>
          <w:i/>
          <w:iCs/>
        </w:rPr>
        <w:t xml:space="preserve">et al.</w:t>
      </w:r>
      <w:r>
        <w:t xml:space="preserve"> </w:t>
      </w:r>
      <w:r>
        <w:t xml:space="preserve">The database for aggregate analysis of ClinicalTrials. Gov (AACT) and subsequent regrouping by clinical specialty.</w:t>
      </w:r>
      <w:r>
        <w:t xml:space="preserve"> </w:t>
      </w:r>
      <w:r>
        <w:rPr>
          <w:i/>
          <w:iCs/>
        </w:rPr>
        <w:t xml:space="preserve">PloS one</w:t>
      </w:r>
      <w:r>
        <w:t xml:space="preserve"> </w:t>
      </w:r>
      <w:r>
        <w:rPr>
          <w:b/>
          <w:bCs/>
        </w:rPr>
        <w:t xml:space="preserve">7</w:t>
      </w:r>
      <w:r>
        <w:t xml:space="preserve">, e33677 (2012).</w:t>
      </w:r>
    </w:p>
    <w:bookmarkEnd w:id="58"/>
    <w:bookmarkStart w:id="59" w:name="ref-eisenhauer2009new"/>
    <w:p>
      <w:pPr>
        <w:pStyle w:val="Bibliography"/>
      </w:pPr>
      <w:r>
        <w:t xml:space="preserve">14.</w:t>
      </w:r>
      <w:r>
        <w:t xml:space="preserve"> </w:t>
      </w:r>
      <w:r>
        <w:t xml:space="preserve">	</w:t>
      </w:r>
      <w:r>
        <w:t xml:space="preserve">Eisenhauer, E. A.</w:t>
      </w:r>
      <w:r>
        <w:t xml:space="preserve"> </w:t>
      </w:r>
      <w:r>
        <w:rPr>
          <w:i/>
          <w:iCs/>
        </w:rPr>
        <w:t xml:space="preserve">et al.</w:t>
      </w:r>
      <w:r>
        <w:t xml:space="preserve"> </w:t>
      </w:r>
      <w:r>
        <w:t xml:space="preserve">New response evaluation criteria in solid tumours: Revised RECIST guideline (version 1.1).</w:t>
      </w:r>
      <w:r>
        <w:t xml:space="preserve"> </w:t>
      </w:r>
      <w:r>
        <w:rPr>
          <w:i/>
          <w:iCs/>
        </w:rPr>
        <w:t xml:space="preserve">European journal of cancer</w:t>
      </w:r>
      <w:r>
        <w:t xml:space="preserve"> </w:t>
      </w:r>
      <w:r>
        <w:rPr>
          <w:b/>
          <w:bCs/>
        </w:rPr>
        <w:t xml:space="preserve">45</w:t>
      </w:r>
      <w:r>
        <w:t xml:space="preserve">, 228–247 (2009).</w:t>
      </w:r>
    </w:p>
    <w:bookmarkEnd w:id="59"/>
    <w:bookmarkStart w:id="61" w:name="ref-ThanCCR"/>
    <w:p>
      <w:pPr>
        <w:pStyle w:val="Bibliography"/>
      </w:pPr>
      <w:r>
        <w:t xml:space="preserve">15.</w:t>
      </w:r>
      <w:r>
        <w:t xml:space="preserve"> </w:t>
      </w:r>
      <w:r>
        <w:t xml:space="preserve">	</w:t>
      </w:r>
      <w:r>
        <w:t xml:space="preserve">Ton, T. G. N.</w:t>
      </w:r>
      <w:r>
        <w:t xml:space="preserve"> </w:t>
      </w:r>
      <w:r>
        <w:rPr>
          <w:i/>
          <w:iCs/>
        </w:rPr>
        <w:t xml:space="preserve">et al.</w:t>
      </w:r>
      <w:r>
        <w:t xml:space="preserve"> </w:t>
      </w:r>
      <w:hyperlink r:id="rId60">
        <w:r>
          <w:rPr>
            <w:rStyle w:val="Hyperlink"/>
          </w:rPr>
          <w:t xml:space="preserve">Replication of overall survival, progression-free survival, and overall response in chemotherapy arms of nonâsmall cell lung cancer trials using real-world data</w:t>
        </w:r>
      </w:hyperlink>
      <w:r>
        <w:t xml:space="preserve">.</w:t>
      </w:r>
      <w:r>
        <w:t xml:space="preserve"> </w:t>
      </w:r>
      <w:r>
        <w:rPr>
          <w:i/>
          <w:iCs/>
        </w:rPr>
        <w:t xml:space="preserve">Clinical Cancer Research</w:t>
      </w:r>
      <w:r>
        <w:t xml:space="preserve"> </w:t>
      </w:r>
      <w:r>
        <w:rPr>
          <w:b/>
          <w:bCs/>
        </w:rPr>
        <w:t xml:space="preserve">28</w:t>
      </w:r>
      <w:r>
        <w:t xml:space="preserve">, 2844–2853 (2022).</w:t>
      </w:r>
    </w:p>
    <w:bookmarkEnd w:id="61"/>
    <w:bookmarkStart w:id="62" w:name="ref-mckelvey2024evaluation"/>
    <w:p>
      <w:pPr>
        <w:pStyle w:val="Bibliography"/>
      </w:pPr>
      <w:r>
        <w:t xml:space="preserve">16.</w:t>
      </w:r>
      <w:r>
        <w:t xml:space="preserve"> </w:t>
      </w:r>
      <w:r>
        <w:t xml:space="preserve">	</w:t>
      </w:r>
      <w:r>
        <w:t xml:space="preserve">McKelvey, B. A.</w:t>
      </w:r>
      <w:r>
        <w:t xml:space="preserve"> </w:t>
      </w:r>
      <w:r>
        <w:rPr>
          <w:i/>
          <w:iCs/>
        </w:rPr>
        <w:t xml:space="preserve">et al.</w:t>
      </w:r>
      <w:r>
        <w:t xml:space="preserve"> </w:t>
      </w:r>
      <w:r>
        <w:t xml:space="preserve">Evaluation of real-world tumor response derived from electronic health record data sources: A feasibility analysis in patients with metastatic non–small cell lung cancer treated with chemotherapy.</w:t>
      </w:r>
      <w:r>
        <w:t xml:space="preserve"> </w:t>
      </w:r>
      <w:r>
        <w:rPr>
          <w:i/>
          <w:iCs/>
        </w:rPr>
        <w:t xml:space="preserve">JCO Clinical Cancer Informatics</w:t>
      </w:r>
      <w:r>
        <w:t xml:space="preserve"> </w:t>
      </w:r>
      <w:r>
        <w:rPr>
          <w:b/>
          <w:bCs/>
        </w:rPr>
        <w:t xml:space="preserve">8</w:t>
      </w:r>
      <w:r>
        <w:t xml:space="preserve">, e2400091 (2024).</w:t>
      </w:r>
    </w:p>
    <w:bookmarkEnd w:id="62"/>
    <w:bookmarkStart w:id="64" w:name="ref-rwdRECIST"/>
    <w:p>
      <w:pPr>
        <w:pStyle w:val="Bibliography"/>
      </w:pPr>
      <w:r>
        <w:t xml:space="preserve">17.</w:t>
      </w:r>
      <w:r>
        <w:t xml:space="preserve"> </w:t>
      </w:r>
      <w:r>
        <w:t xml:space="preserve">	</w:t>
      </w:r>
      <w:r>
        <w:t xml:space="preserve">Chen, L.</w:t>
      </w:r>
      <w:r>
        <w:t xml:space="preserve"> </w:t>
      </w:r>
      <w:r>
        <w:rPr>
          <w:i/>
          <w:iCs/>
        </w:rPr>
        <w:t xml:space="preserve">et al.</w:t>
      </w:r>
      <w:r>
        <w:t xml:space="preserve"> </w:t>
      </w:r>
      <w:hyperlink r:id="rId63">
        <w:r>
          <w:rPr>
            <w:rStyle w:val="Hyperlink"/>
          </w:rPr>
          <w:t xml:space="preserve">Comparison of response from RECIST1.1 and abstraction in real-world patients with lung cancer.</w:t>
        </w:r>
      </w:hyperlink>
      <w:r>
        <w:t xml:space="preserve"> </w:t>
      </w:r>
      <w:r>
        <w:rPr>
          <w:i/>
          <w:iCs/>
        </w:rPr>
        <w:t xml:space="preserve">Journal of Clinical Oncology</w:t>
      </w:r>
      <w:r>
        <w:t xml:space="preserve"> </w:t>
      </w:r>
      <w:r>
        <w:rPr>
          <w:b/>
          <w:bCs/>
        </w:rPr>
        <w:t xml:space="preserve">41</w:t>
      </w:r>
      <w:r>
        <w:t xml:space="preserve">, e21194–e21194 (2023).</w:t>
      </w:r>
    </w:p>
    <w:bookmarkEnd w:id="64"/>
    <w:bookmarkStart w:id="65" w:name="ref-rivera2022friends"/>
    <w:p>
      <w:pPr>
        <w:pStyle w:val="Bibliography"/>
      </w:pPr>
      <w:r>
        <w:t xml:space="preserve">18.</w:t>
      </w:r>
      <w:r>
        <w:t xml:space="preserve"> </w:t>
      </w:r>
      <w:r>
        <w:t xml:space="preserve">	</w:t>
      </w:r>
      <w:r>
        <w:t xml:space="preserve">Rivera, D. R.</w:t>
      </w:r>
      <w:r>
        <w:t xml:space="preserve"> </w:t>
      </w:r>
      <w:r>
        <w:rPr>
          <w:i/>
          <w:iCs/>
        </w:rPr>
        <w:t xml:space="preserve">et al.</w:t>
      </w:r>
      <w:r>
        <w:t xml:space="preserve"> </w:t>
      </w:r>
      <w:r>
        <w:t xml:space="preserve">The friends of cancer research real-world data collaboration pilot 2.0: Methodological recommendations from oncology case studies.</w:t>
      </w:r>
      <w:r>
        <w:t xml:space="preserve"> </w:t>
      </w:r>
      <w:r>
        <w:rPr>
          <w:i/>
          <w:iCs/>
        </w:rPr>
        <w:t xml:space="preserve">Clinical Pharmacology &amp; Therapeutics</w:t>
      </w:r>
      <w:r>
        <w:t xml:space="preserve"> </w:t>
      </w:r>
      <w:r>
        <w:rPr>
          <w:b/>
          <w:bCs/>
        </w:rPr>
        <w:t xml:space="preserve">111</w:t>
      </w:r>
      <w:r>
        <w:t xml:space="preserve">, 283–292 (2022).</w:t>
      </w:r>
    </w:p>
    <w:bookmarkEnd w:id="65"/>
    <w:bookmarkStart w:id="66" w:name="ref-ackerman2024measurement"/>
    <w:p>
      <w:pPr>
        <w:pStyle w:val="Bibliography"/>
      </w:pPr>
      <w:r>
        <w:t xml:space="preserve">19.</w:t>
      </w:r>
      <w:r>
        <w:t xml:space="preserve"> </w:t>
      </w:r>
      <w:r>
        <w:t xml:space="preserve">	</w:t>
      </w:r>
      <w:r>
        <w:t xml:space="preserve">Ackerman, B.</w:t>
      </w:r>
      <w:r>
        <w:t xml:space="preserve"> </w:t>
      </w:r>
      <w:r>
        <w:rPr>
          <w:i/>
          <w:iCs/>
        </w:rPr>
        <w:t xml:space="preserve">et al.</w:t>
      </w:r>
      <w:r>
        <w:t xml:space="preserve"> </w:t>
      </w:r>
      <w:r>
        <w:t xml:space="preserve">Measurement error and bias in real-world oncology endpoints when constructing external control arms.</w:t>
      </w:r>
      <w:r>
        <w:t xml:space="preserve"> </w:t>
      </w:r>
      <w:r>
        <w:rPr>
          <w:i/>
          <w:iCs/>
        </w:rPr>
        <w:t xml:space="preserve">Frontiers in Drug Safety and Regulation</w:t>
      </w:r>
      <w:r>
        <w:t xml:space="preserve"> </w:t>
      </w:r>
      <w:r>
        <w:rPr>
          <w:b/>
          <w:bCs/>
        </w:rPr>
        <w:t xml:space="preserve">4</w:t>
      </w:r>
      <w:r>
        <w:t xml:space="preserve">, 1423493 (2024).</w:t>
      </w:r>
    </w:p>
    <w:bookmarkEnd w:id="66"/>
    <w:bookmarkStart w:id="67" w:name="ref-nikolakopoulou2014interpret"/>
    <w:p>
      <w:pPr>
        <w:pStyle w:val="Bibliography"/>
      </w:pPr>
      <w:r>
        <w:t xml:space="preserve">20.</w:t>
      </w:r>
      <w:r>
        <w:t xml:space="preserve"> </w:t>
      </w:r>
      <w:r>
        <w:t xml:space="preserve">	</w:t>
      </w:r>
      <w:r>
        <w:t xml:space="preserve">Nikolakopoulou, A., Mavridis, D. &amp; Salanti, G. How to interpret meta-analysis models: Fixed effect and random effects meta-analyses.</w:t>
      </w:r>
      <w:r>
        <w:t xml:space="preserve"> </w:t>
      </w:r>
      <w:r>
        <w:rPr>
          <w:i/>
          <w:iCs/>
        </w:rPr>
        <w:t xml:space="preserve">BMJ Ment Health</w:t>
      </w:r>
      <w:r>
        <w:t xml:space="preserve"> </w:t>
      </w:r>
      <w:r>
        <w:rPr>
          <w:b/>
          <w:bCs/>
        </w:rPr>
        <w:t xml:space="preserve">17</w:t>
      </w:r>
      <w:r>
        <w:t xml:space="preserve">, 64–64 (2014).</w:t>
      </w:r>
    </w:p>
    <w:bookmarkEnd w:id="67"/>
    <w:bookmarkStart w:id="69" w:name="ref-wang2022harmonized"/>
    <w:p>
      <w:pPr>
        <w:pStyle w:val="Bibliography"/>
      </w:pPr>
      <w:r>
        <w:t xml:space="preserve">21.</w:t>
      </w:r>
      <w:r>
        <w:t xml:space="preserve"> </w:t>
      </w:r>
      <w:r>
        <w:t xml:space="preserve">	</w:t>
      </w:r>
      <w:r>
        <w:t xml:space="preserve">Wang, S. V.</w:t>
      </w:r>
      <w:r>
        <w:t xml:space="preserve"> </w:t>
      </w:r>
      <w:r>
        <w:rPr>
          <w:i/>
          <w:iCs/>
        </w:rPr>
        <w:t xml:space="preserve">et al.</w:t>
      </w:r>
      <w:r>
        <w:t xml:space="preserve"> </w:t>
      </w:r>
      <w:hyperlink r:id="rId68">
        <w:r>
          <w:rPr>
            <w:rStyle w:val="Hyperlink"/>
          </w:rPr>
          <w:t xml:space="preserve">HARmonized protocol template to enhance reproducibility of hypothesis evaluating real-world evidence studies on treatment effects: A good practices report of a joint ISPE/ISPOR task force</w:t>
        </w:r>
      </w:hyperlink>
      <w:r>
        <w:t xml:space="preserve">.</w:t>
      </w:r>
      <w:r>
        <w:t xml:space="preserve"> </w:t>
      </w:r>
      <w:r>
        <w:rPr>
          <w:i/>
          <w:iCs/>
        </w:rPr>
        <w:t xml:space="preserve">Value in Health</w:t>
      </w:r>
      <w:r>
        <w:t xml:space="preserve"> </w:t>
      </w:r>
      <w:r>
        <w:rPr>
          <w:b/>
          <w:bCs/>
        </w:rPr>
        <w:t xml:space="preserve">25</w:t>
      </w:r>
      <w:r>
        <w:t xml:space="preserve">, 1663–1672 (2022).</w:t>
      </w:r>
    </w:p>
    <w:bookmarkEnd w:id="69"/>
    <w:bookmarkStart w:id="70" w:name="ref-guidelinegeneral"/>
    <w:p>
      <w:pPr>
        <w:pStyle w:val="Bibliography"/>
      </w:pPr>
      <w:r>
        <w:t xml:space="preserve">22.</w:t>
      </w:r>
      <w:r>
        <w:t xml:space="preserve"> </w:t>
      </w:r>
      <w:r>
        <w:t xml:space="preserve">	</w:t>
      </w:r>
      <w:r>
        <w:t xml:space="preserve">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r>
        <w:t xml:space="preserve"> </w:t>
      </w:r>
    </w:p>
    <w:bookmarkEnd w:id="70"/>
    <w:bookmarkStart w:id="71" w:name="ref-hernan2022target"/>
    <w:p>
      <w:pPr>
        <w:pStyle w:val="Bibliography"/>
      </w:pPr>
      <w:r>
        <w:t xml:space="preserve">23.</w:t>
      </w:r>
      <w:r>
        <w:t xml:space="preserve"> </w:t>
      </w:r>
      <w:r>
        <w:t xml:space="preserve">	</w:t>
      </w:r>
      <w:r>
        <w:t xml:space="preserve">Hernán, M. A., Wang, W. &amp; Leaf, D. E. Target trial emulation: A framework for causal inference from observational data.</w:t>
      </w:r>
      <w:r>
        <w:t xml:space="preserve"> </w:t>
      </w:r>
      <w:r>
        <w:rPr>
          <w:i/>
          <w:iCs/>
        </w:rPr>
        <w:t xml:space="preserve">Jama</w:t>
      </w:r>
      <w:r>
        <w:t xml:space="preserve"> </w:t>
      </w:r>
      <w:r>
        <w:rPr>
          <w:b/>
          <w:bCs/>
        </w:rPr>
        <w:t xml:space="preserve">328</w:t>
      </w:r>
      <w:r>
        <w:t xml:space="preserve">, 2446–2447 (2022).</w:t>
      </w:r>
    </w:p>
    <w:bookmarkEnd w:id="71"/>
    <w:bookmarkStart w:id="73" w:name="ref-hernan2016specifying"/>
    <w:p>
      <w:pPr>
        <w:pStyle w:val="Bibliography"/>
      </w:pPr>
      <w:r>
        <w:t xml:space="preserve">24.</w:t>
      </w:r>
      <w:r>
        <w:t xml:space="preserve"> </w:t>
      </w:r>
      <w:r>
        <w:t xml:space="preserve">	</w:t>
      </w:r>
      <w:r>
        <w:t xml:space="preserve">Hernán, M. A., Sauer, B. C., Hernández-Dı́az, S., Platt, R. &amp; Shrier, I.</w:t>
      </w:r>
      <w:r>
        <w:t xml:space="preserve"> </w:t>
      </w:r>
      <w:hyperlink r:id="rId72">
        <w:r>
          <w:rPr>
            <w:rStyle w:val="Hyperlink"/>
          </w:rPr>
          <w:t xml:space="preserve">Specifying a target trial prevents immortal time bias and other self-inflicted injuries in observational analyses</w:t>
        </w:r>
      </w:hyperlink>
      <w:r>
        <w:t xml:space="preserve">.</w:t>
      </w:r>
      <w:r>
        <w:t xml:space="preserve"> </w:t>
      </w:r>
      <w:r>
        <w:rPr>
          <w:i/>
          <w:iCs/>
        </w:rPr>
        <w:t xml:space="preserve">Journal of clinical epidemiology</w:t>
      </w:r>
      <w:r>
        <w:t xml:space="preserve"> </w:t>
      </w:r>
      <w:r>
        <w:rPr>
          <w:b/>
          <w:bCs/>
        </w:rPr>
        <w:t xml:space="preserve">79</w:t>
      </w:r>
      <w:r>
        <w:t xml:space="preserve">, 70–75 (2016).</w:t>
      </w:r>
    </w:p>
    <w:bookmarkEnd w:id="73"/>
    <w:bookmarkStart w:id="75" w:name="ref-rufibach2018"/>
    <w:p>
      <w:pPr>
        <w:pStyle w:val="Bibliography"/>
      </w:pPr>
      <w:r>
        <w:t xml:space="preserve">25.</w:t>
      </w:r>
      <w:r>
        <w:t xml:space="preserve"> </w:t>
      </w:r>
      <w:r>
        <w:t xml:space="preserve">	</w:t>
      </w:r>
      <w:r>
        <w:t xml:space="preserve">Rufibach, K.</w:t>
      </w:r>
      <w:r>
        <w:t xml:space="preserve"> </w:t>
      </w:r>
      <w:hyperlink r:id="rId74">
        <w:r>
          <w:rPr>
            <w:rStyle w:val="Hyperlink"/>
          </w:rPr>
          <w:t xml:space="preserve">Treatment effect quantification for time</w:t>
        </w:r>
        <w:r>
          <w:rPr>
            <w:rStyle w:val="Hyperlink"/>
          </w:rPr>
          <w:t xml:space="preserve">-</w:t>
        </w:r>
        <w:r>
          <w:rPr>
            <w:rStyle w:val="Hyperlink"/>
          </w:rPr>
          <w:t xml:space="preserve">to</w:t>
        </w:r>
        <w:r>
          <w:rPr>
            <w:rStyle w:val="Hyperlink"/>
          </w:rPr>
          <w:t xml:space="preserve">-</w:t>
        </w:r>
        <w:r>
          <w:rPr>
            <w:rStyle w:val="Hyperlink"/>
          </w:rPr>
          <w:t xml:space="preserve">event endpoints</w:t>
        </w:r>
        <w:r>
          <w:rPr>
            <w:rStyle w:val="Hyperlink"/>
          </w:rPr>
          <w:t xml:space="preserve">Estimands, analysis strategies, and beyond</w:t>
        </w:r>
      </w:hyperlink>
      <w:r>
        <w:t xml:space="preserve">.</w:t>
      </w:r>
      <w:r>
        <w:t xml:space="preserve"> </w:t>
      </w:r>
      <w:r>
        <w:rPr>
          <w:i/>
          <w:iCs/>
        </w:rPr>
        <w:t xml:space="preserve">Pharmaceutical Statistics</w:t>
      </w:r>
      <w:r>
        <w:t xml:space="preserve"> </w:t>
      </w:r>
      <w:r>
        <w:rPr>
          <w:b/>
          <w:bCs/>
        </w:rPr>
        <w:t xml:space="preserve">18</w:t>
      </w:r>
      <w:r>
        <w:t xml:space="preserve">, 145–165 (2018).</w:t>
      </w:r>
    </w:p>
    <w:bookmarkEnd w:id="75"/>
    <w:bookmarkStart w:id="76" w:name="ref-manitz2022estimands"/>
    <w:p>
      <w:pPr>
        <w:pStyle w:val="Bibliography"/>
      </w:pPr>
      <w:r>
        <w:t xml:space="preserve">26.</w:t>
      </w:r>
      <w:r>
        <w:t xml:space="preserve"> </w:t>
      </w:r>
      <w:r>
        <w:t xml:space="preserve">	</w:t>
      </w:r>
      <w:r>
        <w:t xml:space="preserve">Manitz, J.</w:t>
      </w:r>
      <w:r>
        <w:t xml:space="preserve"> </w:t>
      </w:r>
      <w:r>
        <w:rPr>
          <w:i/>
          <w:iCs/>
        </w:rPr>
        <w:t xml:space="preserve">et al.</w:t>
      </w:r>
      <w:r>
        <w:t xml:space="preserve"> </w:t>
      </w:r>
      <w:r>
        <w:t xml:space="preserve">Estimands for overall survival in clinical trials with treatment switching in oncology.</w:t>
      </w:r>
      <w:r>
        <w:t xml:space="preserve"> </w:t>
      </w:r>
      <w:r>
        <w:rPr>
          <w:i/>
          <w:iCs/>
        </w:rPr>
        <w:t xml:space="preserve">Pharmaceutical Statistics</w:t>
      </w:r>
      <w:r>
        <w:t xml:space="preserve"> </w:t>
      </w:r>
      <w:r>
        <w:rPr>
          <w:b/>
          <w:bCs/>
        </w:rPr>
        <w:t xml:space="preserve">21</w:t>
      </w:r>
      <w:r>
        <w:t xml:space="preserve">, 150–162 (2022).</w:t>
      </w:r>
    </w:p>
    <w:bookmarkEnd w:id="76"/>
    <w:bookmarkStart w:id="77" w:name="ref-meyer2020open"/>
    <w:p>
      <w:pPr>
        <w:pStyle w:val="Bibliography"/>
      </w:pPr>
      <w:r>
        <w:t xml:space="preserve">27.</w:t>
      </w:r>
      <w:r>
        <w:t xml:space="preserve"> </w:t>
      </w:r>
      <w:r>
        <w:t xml:space="preserve">	</w:t>
      </w:r>
      <w:r>
        <w:t xml:space="preserve">Meyer, A.-M., Davies, J., Taylor, M. &amp; Fruechtenicht, C. Open cohorts and ghost-time bias in real world data. In</w:t>
      </w:r>
      <w:r>
        <w:t xml:space="preserve"> </w:t>
      </w:r>
      <w:r>
        <w:rPr>
          <w:i/>
          <w:iCs/>
        </w:rPr>
        <w:t xml:space="preserve">PHARMACOEPIDEMIOLOGY AND DRUG SAFETY</w:t>
      </w:r>
      <w:r>
        <w:t xml:space="preserve"> </w:t>
      </w:r>
      <w:r>
        <w:rPr>
          <w:b/>
          <w:bCs/>
        </w:rPr>
        <w:t xml:space="preserve">29</w:t>
      </w:r>
      <w:r>
        <w:t xml:space="preserve">, 426–426 (WILEY 111 RIVER ST, HOBOKEN 07030-5774, NJ USA, 2020).</w:t>
      </w:r>
    </w:p>
    <w:bookmarkEnd w:id="77"/>
    <w:bookmarkStart w:id="78" w:name="ref-austin2009balance"/>
    <w:p>
      <w:pPr>
        <w:pStyle w:val="Bibliography"/>
      </w:pPr>
      <w:r>
        <w:t xml:space="preserve">28.</w:t>
      </w:r>
      <w:r>
        <w:t xml:space="preserve"> </w:t>
      </w:r>
      <w:r>
        <w:t xml:space="preserve">	</w:t>
      </w:r>
      <w:r>
        <w:t xml:space="preserve">Austin, P. C. Balance diagnostics for comparing the distribution of baseline covariates between treatment groups in propensity-score matched samples.</w:t>
      </w:r>
      <w:r>
        <w:t xml:space="preserve"> </w:t>
      </w:r>
      <w:r>
        <w:rPr>
          <w:i/>
          <w:iCs/>
        </w:rPr>
        <w:t xml:space="preserve">Statistics in medicine</w:t>
      </w:r>
      <w:r>
        <w:t xml:space="preserve"> </w:t>
      </w:r>
      <w:r>
        <w:rPr>
          <w:b/>
          <w:bCs/>
        </w:rPr>
        <w:t xml:space="preserve">28</w:t>
      </w:r>
      <w:r>
        <w:t xml:space="preserve">, 3083–3107 (2009).</w:t>
      </w:r>
    </w:p>
    <w:bookmarkEnd w:id="78"/>
    <w:bookmarkStart w:id="79" w:name="ref-hernan2022causal"/>
    <w:p>
      <w:pPr>
        <w:pStyle w:val="Bibliography"/>
      </w:pPr>
      <w:r>
        <w:t xml:space="preserve">29.</w:t>
      </w:r>
      <w:r>
        <w:t xml:space="preserve"> </w:t>
      </w:r>
      <w:r>
        <w:t xml:space="preserve">	</w:t>
      </w:r>
      <w:r>
        <w:t xml:space="preserve">Hernán, M. A. Causal analyses of existing databases: No power calculations required.</w:t>
      </w:r>
      <w:r>
        <w:t xml:space="preserve"> </w:t>
      </w:r>
      <w:r>
        <w:rPr>
          <w:i/>
          <w:iCs/>
        </w:rPr>
        <w:t xml:space="preserve">Journal of clinical epidemiology</w:t>
      </w:r>
      <w:r>
        <w:t xml:space="preserve"> </w:t>
      </w:r>
      <w:r>
        <w:rPr>
          <w:b/>
          <w:bCs/>
        </w:rPr>
        <w:t xml:space="preserve">144</w:t>
      </w:r>
      <w:r>
        <w:t xml:space="preserve">, 203–205 (2022).</w:t>
      </w:r>
    </w:p>
    <w:bookmarkEnd w:id="79"/>
    <w:bookmarkStart w:id="80" w:name="ref-schoenfeld1981asymptotic"/>
    <w:p>
      <w:pPr>
        <w:pStyle w:val="Bibliography"/>
      </w:pPr>
      <w:r>
        <w:t xml:space="preserve">30.</w:t>
      </w:r>
      <w:r>
        <w:t xml:space="preserve"> </w:t>
      </w:r>
      <w:r>
        <w:t xml:space="preserve">	</w:t>
      </w:r>
      <w:r>
        <w:t xml:space="preserve">Schoenfeld, D. The asymptotic properties of nonparametric tests for comparing survival distributions.</w:t>
      </w:r>
      <w:r>
        <w:t xml:space="preserve"> </w:t>
      </w:r>
      <w:r>
        <w:rPr>
          <w:i/>
          <w:iCs/>
        </w:rPr>
        <w:t xml:space="preserve">Biometrika</w:t>
      </w:r>
      <w:r>
        <w:t xml:space="preserve"> </w:t>
      </w:r>
      <w:r>
        <w:rPr>
          <w:b/>
          <w:bCs/>
        </w:rPr>
        <w:t xml:space="preserve">68</w:t>
      </w:r>
      <w:r>
        <w:t xml:space="preserve">, 316–319 (1981).</w:t>
      </w:r>
    </w:p>
    <w:bookmarkEnd w:id="80"/>
    <w:bookmarkStart w:id="81" w:name="ref-franklin2020nonrandomized"/>
    <w:p>
      <w:pPr>
        <w:pStyle w:val="Bibliography"/>
      </w:pPr>
      <w:r>
        <w:t xml:space="preserve">31.</w:t>
      </w:r>
      <w:r>
        <w:t xml:space="preserve"> </w:t>
      </w:r>
      <w:r>
        <w:t xml:space="preserve">	</w:t>
      </w:r>
      <w:r>
        <w:t xml:space="preserve">Franklin, J. M.</w:t>
      </w:r>
      <w:r>
        <w:t xml:space="preserve"> </w:t>
      </w:r>
      <w:r>
        <w:rPr>
          <w:i/>
          <w:iCs/>
        </w:rPr>
        <w:t xml:space="preserve">et al.</w:t>
      </w:r>
      <w:r>
        <w:t xml:space="preserve"> </w:t>
      </w:r>
      <w:r>
        <w:t xml:space="preserve">Nonrandomized real-world evidence to support regulatory decision making: Process for a randomized trial replication project.</w:t>
      </w:r>
      <w:r>
        <w:t xml:space="preserve"> </w:t>
      </w:r>
      <w:r>
        <w:rPr>
          <w:i/>
          <w:iCs/>
        </w:rPr>
        <w:t xml:space="preserve">Clinical Pharmacology &amp; Therapeutics</w:t>
      </w:r>
      <w:r>
        <w:t xml:space="preserve"> </w:t>
      </w:r>
      <w:r>
        <w:rPr>
          <w:b/>
          <w:bCs/>
        </w:rPr>
        <w:t xml:space="preserve">107</w:t>
      </w:r>
      <w:r>
        <w:t xml:space="preserve">, 817–826 (2020).</w:t>
      </w:r>
    </w:p>
    <w:bookmarkEnd w:id="81"/>
    <w:bookmarkStart w:id="82" w:name="ref-schneeweiss2019graphical"/>
    <w:p>
      <w:pPr>
        <w:pStyle w:val="Bibliography"/>
      </w:pPr>
      <w:r>
        <w:t xml:space="preserve">32.</w:t>
      </w:r>
      <w:r>
        <w:t xml:space="preserve"> </w:t>
      </w:r>
      <w:r>
        <w:t xml:space="preserve">	</w:t>
      </w:r>
      <w:r>
        <w:t xml:space="preserve">Schneeweiss, S.</w:t>
      </w:r>
      <w:r>
        <w:t xml:space="preserve"> </w:t>
      </w:r>
      <w:r>
        <w:rPr>
          <w:i/>
          <w:iCs/>
        </w:rPr>
        <w:t xml:space="preserve">et al.</w:t>
      </w:r>
      <w:r>
        <w:t xml:space="preserve"> </w:t>
      </w:r>
      <w:r>
        <w:t xml:space="preserve">Graphical depiction of longitudinal study designs in health care databases.</w:t>
      </w:r>
      <w:r>
        <w:t xml:space="preserve"> </w:t>
      </w:r>
      <w:r>
        <w:rPr>
          <w:i/>
          <w:iCs/>
        </w:rPr>
        <w:t xml:space="preserve">Annals of internal medicine</w:t>
      </w:r>
      <w:r>
        <w:t xml:space="preserve"> </w:t>
      </w:r>
      <w:r>
        <w:rPr>
          <w:b/>
          <w:bCs/>
        </w:rPr>
        <w:t xml:space="preserve">170</w:t>
      </w:r>
      <w:r>
        <w:t xml:space="preserve">, 398–406 (2019).</w:t>
      </w:r>
    </w:p>
    <w:bookmarkEnd w:id="82"/>
    <w:bookmarkStart w:id="83" w:name="ref-rubin1976inference"/>
    <w:p>
      <w:pPr>
        <w:pStyle w:val="Bibliography"/>
      </w:pPr>
      <w:r>
        <w:t xml:space="preserve">33.</w:t>
      </w:r>
      <w:r>
        <w:t xml:space="preserve"> </w:t>
      </w:r>
      <w:r>
        <w:t xml:space="preserve">	</w:t>
      </w:r>
      <w:r>
        <w:t xml:space="preserve">Rubin, D. B. Inference and missing data.</w:t>
      </w:r>
      <w:r>
        <w:t xml:space="preserve"> </w:t>
      </w:r>
      <w:r>
        <w:rPr>
          <w:i/>
          <w:iCs/>
        </w:rPr>
        <w:t xml:space="preserve">Biometrika</w:t>
      </w:r>
      <w:r>
        <w:t xml:space="preserve"> </w:t>
      </w:r>
      <w:r>
        <w:rPr>
          <w:b/>
          <w:bCs/>
        </w:rPr>
        <w:t xml:space="preserve">63</w:t>
      </w:r>
      <w:r>
        <w:t xml:space="preserve">, 581–592 (1976).</w:t>
      </w:r>
    </w:p>
    <w:bookmarkEnd w:id="83"/>
    <w:bookmarkStart w:id="84" w:name="ref-weberpals2024smdi"/>
    <w:p>
      <w:pPr>
        <w:pStyle w:val="Bibliography"/>
      </w:pPr>
      <w:r>
        <w:t xml:space="preserve">34.</w:t>
      </w:r>
      <w:r>
        <w:t xml:space="preserve"> </w:t>
      </w:r>
      <w:r>
        <w:t xml:space="preserve">	</w:t>
      </w:r>
      <w:r>
        <w:t xml:space="preserve">Weberpals, J.</w:t>
      </w:r>
      <w:r>
        <w:t xml:space="preserve"> </w:t>
      </w:r>
      <w:r>
        <w:rPr>
          <w:i/>
          <w:iCs/>
        </w:rPr>
        <w:t xml:space="preserve">et al.</w:t>
      </w:r>
      <w:r>
        <w:t xml:space="preserve"> </w:t>
      </w:r>
      <w:r>
        <w:t xml:space="preserve">Smdi: An r package to perform structural missing data investigations on partially observed confounders in real-world evidence studies.</w:t>
      </w:r>
      <w:r>
        <w:t xml:space="preserve"> </w:t>
      </w:r>
      <w:r>
        <w:rPr>
          <w:i/>
          <w:iCs/>
        </w:rPr>
        <w:t xml:space="preserve">JAMIA open</w:t>
      </w:r>
      <w:r>
        <w:t xml:space="preserve"> </w:t>
      </w:r>
      <w:r>
        <w:rPr>
          <w:b/>
          <w:bCs/>
        </w:rPr>
        <w:t xml:space="preserve">7</w:t>
      </w:r>
      <w:r>
        <w:t xml:space="preserve">, ooae008 (2024).</w:t>
      </w:r>
    </w:p>
    <w:bookmarkEnd w:id="84"/>
    <w:bookmarkStart w:id="86" w:name="ref-weberpals2024"/>
    <w:p>
      <w:pPr>
        <w:pStyle w:val="Bibliography"/>
      </w:pPr>
      <w:r>
        <w:t xml:space="preserve">35.</w:t>
      </w:r>
      <w:r>
        <w:t xml:space="preserve"> </w:t>
      </w:r>
      <w:r>
        <w:t xml:space="preserve">	</w:t>
      </w:r>
      <w:r>
        <w:t xml:space="preserve">Weberpals, J.</w:t>
      </w:r>
      <w:r>
        <w:t xml:space="preserve"> </w:t>
      </w:r>
      <w:r>
        <w:rPr>
          <w:i/>
          <w:iCs/>
        </w:rPr>
        <w:t xml:space="preserve">et al.</w:t>
      </w:r>
      <w:r>
        <w:t xml:space="preserve"> </w:t>
      </w:r>
      <w:hyperlink r:id="rId85">
        <w:r>
          <w:rPr>
            <w:rStyle w:val="Hyperlink"/>
          </w:rPr>
          <w:t xml:space="preserve">A principled approach to characterize and analyze partially observed confounder data from electronic health records</w:t>
        </w:r>
      </w:hyperlink>
      <w:r>
        <w:t xml:space="preserve">.</w:t>
      </w:r>
      <w:r>
        <w:t xml:space="preserve"> </w:t>
      </w:r>
      <w:r>
        <w:rPr>
          <w:i/>
          <w:iCs/>
        </w:rPr>
        <w:t xml:space="preserve">Clinical Epidemiology</w:t>
      </w:r>
      <w:r>
        <w:t xml:space="preserve"> </w:t>
      </w:r>
      <w:r>
        <w:rPr>
          <w:b/>
          <w:bCs/>
        </w:rPr>
        <w:t xml:space="preserve">16</w:t>
      </w:r>
      <w:r>
        <w:t xml:space="preserve">, 329–343 (2024).</w:t>
      </w:r>
    </w:p>
    <w:bookmarkEnd w:id="86"/>
    <w:bookmarkStart w:id="87" w:name="ref-moreno2018canonical"/>
    <w:p>
      <w:pPr>
        <w:pStyle w:val="Bibliography"/>
      </w:pPr>
      <w:r>
        <w:t xml:space="preserve">36.</w:t>
      </w:r>
      <w:r>
        <w:t xml:space="preserve"> </w:t>
      </w:r>
      <w:r>
        <w:t xml:space="preserve">	</w:t>
      </w:r>
      <w:r>
        <w:t xml:space="preserve">Moreno-Betancur, M.</w:t>
      </w:r>
      <w:r>
        <w:t xml:space="preserve"> </w:t>
      </w:r>
      <w:r>
        <w:rPr>
          <w:i/>
          <w:iCs/>
        </w:rPr>
        <w:t xml:space="preserve">et al.</w:t>
      </w:r>
      <w:r>
        <w:t xml:space="preserve"> </w:t>
      </w:r>
      <w:r>
        <w:t xml:space="preserve">Canonical causal diagrams to guide the treatment of missing data in epidemiologic studies.</w:t>
      </w:r>
      <w:r>
        <w:t xml:space="preserve"> </w:t>
      </w:r>
      <w:r>
        <w:rPr>
          <w:i/>
          <w:iCs/>
        </w:rPr>
        <w:t xml:space="preserve">American journal of epidemiology</w:t>
      </w:r>
      <w:r>
        <w:t xml:space="preserve"> </w:t>
      </w:r>
      <w:r>
        <w:rPr>
          <w:b/>
          <w:bCs/>
        </w:rPr>
        <w:t xml:space="preserve">187</w:t>
      </w:r>
      <w:r>
        <w:t xml:space="preserve">, 2705–2715 (2018).</w:t>
      </w:r>
    </w:p>
    <w:bookmarkEnd w:id="87"/>
    <w:bookmarkStart w:id="88" w:name="ref-tompsett2018use"/>
    <w:p>
      <w:pPr>
        <w:pStyle w:val="Bibliography"/>
      </w:pPr>
      <w:r>
        <w:t xml:space="preserve">37.</w:t>
      </w:r>
      <w:r>
        <w:t xml:space="preserve"> </w:t>
      </w:r>
      <w:r>
        <w:t xml:space="preserve">	</w:t>
      </w:r>
      <w:r>
        <w:t xml:space="preserve">Tompsett, D. M., Leacy, F., Moreno-Betancur, M., Heron, J. &amp; White, I. R. On the use of the not-at-random fully conditional specification (NARFCS) procedure in practice.</w:t>
      </w:r>
      <w:r>
        <w:t xml:space="preserve"> </w:t>
      </w:r>
      <w:r>
        <w:rPr>
          <w:i/>
          <w:iCs/>
        </w:rPr>
        <w:t xml:space="preserve">Statistics in medicine</w:t>
      </w:r>
      <w:r>
        <w:t xml:space="preserve"> </w:t>
      </w:r>
      <w:r>
        <w:rPr>
          <w:b/>
          <w:bCs/>
        </w:rPr>
        <w:t xml:space="preserve">37</w:t>
      </w:r>
      <w:r>
        <w:t xml:space="preserve">, 2338–2353 (2018).</w:t>
      </w:r>
    </w:p>
    <w:bookmarkEnd w:id="88"/>
    <w:bookmarkStart w:id="90" w:name="ref-weberpals2024hdmi"/>
    <w:p>
      <w:pPr>
        <w:pStyle w:val="Bibliography"/>
      </w:pPr>
      <w:r>
        <w:t xml:space="preserve">38.</w:t>
      </w:r>
      <w:r>
        <w:t xml:space="preserve"> </w:t>
      </w:r>
      <w:r>
        <w:t xml:space="preserve">	</w:t>
      </w:r>
      <w:r>
        <w:t xml:space="preserve">Weberpals, J.</w:t>
      </w:r>
      <w:r>
        <w:t xml:space="preserve"> </w:t>
      </w:r>
      <w:r>
        <w:rPr>
          <w:i/>
          <w:iCs/>
        </w:rPr>
        <w:t xml:space="preserve">et al.</w:t>
      </w:r>
      <w:r>
        <w:t xml:space="preserve"> </w:t>
      </w:r>
      <w:r>
        <w:t xml:space="preserve">High-dimensional multiple imputation (HDMI) for partially observed confounders including natural language processing-derived auxiliary covariates.</w:t>
      </w:r>
      <w:r>
        <w:t xml:space="preserve"> </w:t>
      </w:r>
      <w:r>
        <w:rPr>
          <w:i/>
          <w:iCs/>
        </w:rPr>
        <w:t xml:space="preserve">American Journal of Epidemiology</w:t>
      </w:r>
      <w:r>
        <w:t xml:space="preserve"> (2025).at &lt;</w:t>
      </w:r>
      <w:hyperlink r:id="rId89">
        <w:r>
          <w:rPr>
            <w:rStyle w:val="Hyperlink"/>
          </w:rPr>
          <w:t xml:space="preserve">https://arxiv.org/abs/2405.10925</w:t>
        </w:r>
      </w:hyperlink>
      <w:r>
        <w:t xml:space="preserve">&gt;</w:t>
      </w:r>
    </w:p>
    <w:bookmarkEnd w:id="90"/>
    <w:bookmarkStart w:id="92" w:name="ref-Shaw2024"/>
    <w:p>
      <w:pPr>
        <w:pStyle w:val="Bibliography"/>
      </w:pPr>
      <w:r>
        <w:t xml:space="preserve">39.</w:t>
      </w:r>
      <w:r>
        <w:t xml:space="preserve"> </w:t>
      </w:r>
      <w:r>
        <w:t xml:space="preserve">	</w:t>
      </w:r>
      <w:r>
        <w:t xml:space="preserve">Shaw, C. K., P. &amp; Williamson, B. D. Assessing treatment effects in observational data with missing confounders: A comparative study of practical doubly-robust and traditional missing data methods.</w:t>
      </w:r>
      <w:r>
        <w:t xml:space="preserve"> </w:t>
      </w:r>
      <w:r>
        <w:rPr>
          <w:i/>
          <w:iCs/>
        </w:rPr>
        <w:t xml:space="preserve">GitHub repository</w:t>
      </w:r>
      <w:r>
        <w:t xml:space="preserve"> (2024).at &lt;</w:t>
      </w:r>
      <w:hyperlink r:id="rId91">
        <w:r>
          <w:rPr>
            <w:rStyle w:val="Hyperlink"/>
          </w:rPr>
          <w:t xml:space="preserve">https://github.com/PamelaShaw/Missing-Confounders-Methods</w:t>
        </w:r>
      </w:hyperlink>
      <w:r>
        <w:t xml:space="preserve">&gt;</w:t>
      </w:r>
    </w:p>
    <w:bookmarkEnd w:id="92"/>
    <w:bookmarkStart w:id="93" w:name="ref-cox1972regression"/>
    <w:p>
      <w:pPr>
        <w:pStyle w:val="Bibliography"/>
      </w:pPr>
      <w:r>
        <w:t xml:space="preserve">40.</w:t>
      </w:r>
      <w:r>
        <w:t xml:space="preserve"> </w:t>
      </w:r>
      <w:r>
        <w:t xml:space="preserve">	</w:t>
      </w:r>
      <w:r>
        <w:t xml:space="preserve">Cox, D. R. Regression models and life-tables. Journal of the royal statistical society.</w:t>
      </w:r>
      <w:r>
        <w:t xml:space="preserve"> </w:t>
      </w:r>
      <w:r>
        <w:rPr>
          <w:i/>
          <w:iCs/>
        </w:rPr>
        <w:t xml:space="preserve">Series B (Methodological)</w:t>
      </w:r>
      <w:r>
        <w:t xml:space="preserve"> </w:t>
      </w:r>
      <w:r>
        <w:rPr>
          <w:b/>
          <w:bCs/>
        </w:rPr>
        <w:t xml:space="preserve">34</w:t>
      </w:r>
      <w:r>
        <w:t xml:space="preserve">, 187–220 (1972).</w:t>
      </w:r>
    </w:p>
    <w:bookmarkEnd w:id="93"/>
    <w:bookmarkStart w:id="94" w:name="ref-kaplan1958nonparametric"/>
    <w:p>
      <w:pPr>
        <w:pStyle w:val="Bibliography"/>
      </w:pPr>
      <w:r>
        <w:t xml:space="preserve">41.</w:t>
      </w:r>
      <w:r>
        <w:t xml:space="preserve"> </w:t>
      </w:r>
      <w:r>
        <w:t xml:space="preserve">	</w:t>
      </w:r>
      <w:r>
        <w:t xml:space="preserve">Kaplan, E. L. &amp; Meier, P. Nonparametric estimation from incomplete observations.</w:t>
      </w:r>
      <w:r>
        <w:t xml:space="preserve"> </w:t>
      </w:r>
      <w:r>
        <w:rPr>
          <w:i/>
          <w:iCs/>
        </w:rPr>
        <w:t xml:space="preserve">Journal of the American statistical association</w:t>
      </w:r>
      <w:r>
        <w:t xml:space="preserve"> </w:t>
      </w:r>
      <w:r>
        <w:rPr>
          <w:b/>
          <w:bCs/>
        </w:rPr>
        <w:t xml:space="preserve">53</w:t>
      </w:r>
      <w:r>
        <w:t xml:space="preserve">, 457–481 (1958).</w:t>
      </w:r>
    </w:p>
    <w:bookmarkEnd w:id="94"/>
    <w:bookmarkStart w:id="95" w:name="ref-becker2020enhanced"/>
    <w:p>
      <w:pPr>
        <w:pStyle w:val="Bibliography"/>
      </w:pPr>
      <w:r>
        <w:t xml:space="preserve">42.</w:t>
      </w:r>
      <w:r>
        <w:t xml:space="preserve"> </w:t>
      </w:r>
      <w:r>
        <w:t xml:space="preserve">	</w:t>
      </w:r>
      <w:r>
        <w:t xml:space="preserve">Becker, T.</w:t>
      </w:r>
      <w:r>
        <w:t xml:space="preserve"> </w:t>
      </w:r>
      <w:r>
        <w:rPr>
          <w:i/>
          <w:iCs/>
        </w:rPr>
        <w:t xml:space="preserve">et al.</w:t>
      </w:r>
      <w:r>
        <w:t xml:space="preserve"> </w:t>
      </w:r>
      <w:r>
        <w:t xml:space="preserve">An enhanced prognostic score for overall survival of patients with cancer derived from a large real-world cohort.</w:t>
      </w:r>
      <w:r>
        <w:t xml:space="preserve"> </w:t>
      </w:r>
      <w:r>
        <w:rPr>
          <w:i/>
          <w:iCs/>
        </w:rPr>
        <w:t xml:space="preserve">Annals of Oncology</w:t>
      </w:r>
      <w:r>
        <w:t xml:space="preserve"> </w:t>
      </w:r>
      <w:r>
        <w:rPr>
          <w:b/>
          <w:bCs/>
        </w:rPr>
        <w:t xml:space="preserve">31</w:t>
      </w:r>
      <w:r>
        <w:t xml:space="preserve">, 1561–1568 (2020).</w:t>
      </w:r>
    </w:p>
    <w:bookmarkEnd w:id="95"/>
    <w:bookmarkStart w:id="96" w:name="ref-leyrat2019propensity"/>
    <w:p>
      <w:pPr>
        <w:pStyle w:val="Bibliography"/>
      </w:pPr>
      <w:r>
        <w:t xml:space="preserve">43.</w:t>
      </w:r>
      <w:r>
        <w:t xml:space="preserve"> </w:t>
      </w:r>
      <w:r>
        <w:t xml:space="preserve">	</w:t>
      </w:r>
      <w:r>
        <w:t xml:space="preserve">Leyrat, C.</w:t>
      </w:r>
      <w:r>
        <w:t xml:space="preserve"> </w:t>
      </w:r>
      <w:r>
        <w:rPr>
          <w:i/>
          <w:iCs/>
        </w:rPr>
        <w:t xml:space="preserve">et al.</w:t>
      </w:r>
      <w:r>
        <w:t xml:space="preserve"> </w:t>
      </w:r>
      <w:r>
        <w:t xml:space="preserve">Propensity score analysis with partially observed covariates: How should multiple imputation be used?</w:t>
      </w:r>
      <w:r>
        <w:t xml:space="preserve"> </w:t>
      </w:r>
      <w:r>
        <w:rPr>
          <w:i/>
          <w:iCs/>
        </w:rPr>
        <w:t xml:space="preserve">Statistical methods in medical research</w:t>
      </w:r>
      <w:r>
        <w:t xml:space="preserve"> </w:t>
      </w:r>
      <w:r>
        <w:rPr>
          <w:b/>
          <w:bCs/>
        </w:rPr>
        <w:t xml:space="preserve">28</w:t>
      </w:r>
      <w:r>
        <w:t xml:space="preserve">, 3–19 (2019).</w:t>
      </w:r>
    </w:p>
    <w:bookmarkEnd w:id="96"/>
    <w:bookmarkStart w:id="97" w:name="ref-pishgar2020matchthem"/>
    <w:p>
      <w:pPr>
        <w:pStyle w:val="Bibliography"/>
      </w:pPr>
      <w:r>
        <w:t xml:space="preserve">44.</w:t>
      </w:r>
      <w:r>
        <w:t xml:space="preserve"> </w:t>
      </w:r>
      <w:r>
        <w:t xml:space="preserve">	</w:t>
      </w:r>
      <w:r>
        <w:t xml:space="preserve">Pishgar, F., Greifer, N., Leyrat, C. &amp; Stuart, E. MatchThem:: Matching and weighting after multiple imputation.</w:t>
      </w:r>
      <w:r>
        <w:t xml:space="preserve"> </w:t>
      </w:r>
      <w:r>
        <w:rPr>
          <w:i/>
          <w:iCs/>
        </w:rPr>
        <w:t xml:space="preserve">arXiv preprint arXiv:2009.11772</w:t>
      </w:r>
      <w:r>
        <w:t xml:space="preserve"> (2020).</w:t>
      </w:r>
    </w:p>
    <w:bookmarkEnd w:id="97"/>
    <w:bookmarkStart w:id="98" w:name="ref-rubin2018multiple"/>
    <w:p>
      <w:pPr>
        <w:pStyle w:val="Bibliography"/>
      </w:pPr>
      <w:r>
        <w:t xml:space="preserve">45.</w:t>
      </w:r>
      <w:r>
        <w:t xml:space="preserve"> </w:t>
      </w:r>
      <w:r>
        <w:t xml:space="preserve">	</w:t>
      </w:r>
      <w:r>
        <w:t xml:space="preserve">Rubin, D. B. Multiple imputation. In</w:t>
      </w:r>
      <w:r>
        <w:t xml:space="preserve"> </w:t>
      </w:r>
      <w:r>
        <w:rPr>
          <w:i/>
          <w:iCs/>
        </w:rPr>
        <w:t xml:space="preserve">Flexible imputation of missing data, second edition</w:t>
      </w:r>
      <w:r>
        <w:t xml:space="preserve"> </w:t>
      </w:r>
      <w:r>
        <w:t xml:space="preserve">29–62 (Chapman; Hall/CRC, 2018).</w:t>
      </w:r>
    </w:p>
    <w:bookmarkEnd w:id="98"/>
    <w:bookmarkStart w:id="99" w:name="ref-van2011mice"/>
    <w:p>
      <w:pPr>
        <w:pStyle w:val="Bibliography"/>
      </w:pPr>
      <w:r>
        <w:t xml:space="preserve">46.</w:t>
      </w:r>
      <w:r>
        <w:t xml:space="preserve"> </w:t>
      </w:r>
      <w:r>
        <w:t xml:space="preserve">	</w:t>
      </w:r>
      <w:r>
        <w:t xml:space="preserve">Van Buuren, S. &amp; Groothuis-Oudshoorn, K. Mice: Multivariate imputation by chained equations in r.</w:t>
      </w:r>
      <w:r>
        <w:t xml:space="preserve"> </w:t>
      </w:r>
      <w:r>
        <w:rPr>
          <w:i/>
          <w:iCs/>
        </w:rPr>
        <w:t xml:space="preserve">Journal of statistical software</w:t>
      </w:r>
      <w:r>
        <w:t xml:space="preserve"> </w:t>
      </w:r>
      <w:r>
        <w:rPr>
          <w:b/>
          <w:bCs/>
        </w:rPr>
        <w:t xml:space="preserve">45</w:t>
      </w:r>
      <w:r>
        <w:t xml:space="preserve">, 1–67 (2011).</w:t>
      </w:r>
    </w:p>
    <w:bookmarkEnd w:id="99"/>
    <w:bookmarkStart w:id="100" w:name="ref-franklin2014metrics"/>
    <w:p>
      <w:pPr>
        <w:pStyle w:val="Bibliography"/>
      </w:pPr>
      <w:r>
        <w:t xml:space="preserve">47.</w:t>
      </w:r>
      <w:r>
        <w:t xml:space="preserve"> </w:t>
      </w:r>
      <w:r>
        <w:t xml:space="preserve">	</w:t>
      </w:r>
      <w:r>
        <w:t xml:space="preserve">Franklin, J. M., Rassen, J. A., Ackermann, D., Bartels, D. B. &amp; Schneeweiss, S. Metrics for covariate balance in cohort studies of causal effects.</w:t>
      </w:r>
      <w:r>
        <w:t xml:space="preserve"> </w:t>
      </w:r>
      <w:r>
        <w:rPr>
          <w:i/>
          <w:iCs/>
        </w:rPr>
        <w:t xml:space="preserve">Statistics in medicine</w:t>
      </w:r>
      <w:r>
        <w:t xml:space="preserve"> </w:t>
      </w:r>
      <w:r>
        <w:rPr>
          <w:b/>
          <w:bCs/>
        </w:rPr>
        <w:t xml:space="preserve">33</w:t>
      </w:r>
      <w:r>
        <w:t xml:space="preserve">, 1685–1699 (2014).</w:t>
      </w:r>
    </w:p>
    <w:bookmarkEnd w:id="100"/>
    <w:bookmarkStart w:id="101" w:name="ref-stuart2013prognostic"/>
    <w:p>
      <w:pPr>
        <w:pStyle w:val="Bibliography"/>
      </w:pPr>
      <w:r>
        <w:t xml:space="preserve">48.</w:t>
      </w:r>
      <w:r>
        <w:t xml:space="preserve"> </w:t>
      </w:r>
      <w:r>
        <w:t xml:space="preserve">	</w:t>
      </w:r>
      <w:r>
        <w:t xml:space="preserve">Stuart, E. A., Lee, B. K. &amp; Leacy, F. P. Prognostic score–based balance measures can be a useful diagnostic for propensity score methods in comparative effectiveness research.</w:t>
      </w:r>
      <w:r>
        <w:t xml:space="preserve"> </w:t>
      </w:r>
      <w:r>
        <w:rPr>
          <w:i/>
          <w:iCs/>
        </w:rPr>
        <w:t xml:space="preserve">Journal of clinical epidemiology</w:t>
      </w:r>
      <w:r>
        <w:t xml:space="preserve"> </w:t>
      </w:r>
      <w:r>
        <w:rPr>
          <w:b/>
          <w:bCs/>
        </w:rPr>
        <w:t xml:space="preserve">66</w:t>
      </w:r>
      <w:r>
        <w:t xml:space="preserve">, S84–S90 (2013).</w:t>
      </w:r>
    </w:p>
    <w:bookmarkEnd w:id="101"/>
    <w:bookmarkStart w:id="103" w:name="ref-warwick28685"/>
    <w:p>
      <w:pPr>
        <w:pStyle w:val="Bibliography"/>
      </w:pPr>
      <w:r>
        <w:t xml:space="preserve">49.</w:t>
      </w:r>
      <w:r>
        <w:t xml:space="preserve"> </w:t>
      </w:r>
      <w:r>
        <w:t xml:space="preserve">	</w:t>
      </w:r>
      <w:r>
        <w:t xml:space="preserve">Marshall, A. (Andrea)., Billingham, L. J. &amp; Bryan, S.</w:t>
      </w:r>
      <w:r>
        <w:t xml:space="preserve"> </w:t>
      </w:r>
      <w:hyperlink r:id="rId102">
        <w:r>
          <w:rPr>
            <w:rStyle w:val="Hyperlink"/>
          </w:rPr>
          <w:t xml:space="preserve">Can we afford to ignore missing data in cost-effectiveness analyses?</w:t>
        </w:r>
      </w:hyperlink>
      <w:r>
        <w:t xml:space="preserve"> </w:t>
      </w:r>
      <w:r>
        <w:rPr>
          <w:i/>
          <w:iCs/>
        </w:rPr>
        <w:t xml:space="preserve">European Journal of Health Economics</w:t>
      </w:r>
      <w:r>
        <w:t xml:space="preserve"> </w:t>
      </w:r>
      <w:r>
        <w:rPr>
          <w:b/>
          <w:bCs/>
        </w:rPr>
        <w:t xml:space="preserve">Vol.10</w:t>
      </w:r>
      <w:r>
        <w:t xml:space="preserve">, 1–3 (2009).</w:t>
      </w:r>
    </w:p>
    <w:bookmarkEnd w:id="103"/>
    <w:bookmarkStart w:id="104" w:name="ref-morisot2015prostate"/>
    <w:p>
      <w:pPr>
        <w:pStyle w:val="Bibliography"/>
      </w:pPr>
      <w:r>
        <w:t xml:space="preserve">50.</w:t>
      </w:r>
      <w:r>
        <w:t xml:space="preserve"> </w:t>
      </w:r>
      <w:r>
        <w:t xml:space="preserve">	</w:t>
      </w:r>
      <w:r>
        <w:t xml:space="preserve">Morisot, A.</w:t>
      </w:r>
      <w:r>
        <w:t xml:space="preserve"> </w:t>
      </w:r>
      <w:r>
        <w:rPr>
          <w:i/>
          <w:iCs/>
        </w:rPr>
        <w:t xml:space="preserve">et al.</w:t>
      </w:r>
      <w:r>
        <w:t xml:space="preserve"> </w:t>
      </w:r>
      <w:r>
        <w:t xml:space="preserve">Prostate cancer: Net survival and cause-specific survival rates after multiple imputation.</w:t>
      </w:r>
      <w:r>
        <w:t xml:space="preserve"> </w:t>
      </w:r>
      <w:r>
        <w:rPr>
          <w:i/>
          <w:iCs/>
        </w:rPr>
        <w:t xml:space="preserve">BMC medical research methodology</w:t>
      </w:r>
      <w:r>
        <w:t xml:space="preserve"> </w:t>
      </w:r>
      <w:r>
        <w:rPr>
          <w:b/>
          <w:bCs/>
        </w:rPr>
        <w:t xml:space="preserve">15</w:t>
      </w:r>
      <w:r>
        <w:t xml:space="preserve">, 1–14 (2015).</w:t>
      </w:r>
    </w:p>
    <w:bookmarkEnd w:id="104"/>
    <w:bookmarkStart w:id="105" w:name="ref-anesrake"/>
    <w:p>
      <w:pPr>
        <w:pStyle w:val="Bibliography"/>
      </w:pPr>
      <w:r>
        <w:t xml:space="preserve">51.</w:t>
      </w:r>
      <w:r>
        <w:t xml:space="preserve"> </w:t>
      </w:r>
      <w:r>
        <w:t xml:space="preserve">	</w:t>
      </w:r>
      <w:r>
        <w:t xml:space="preserve">Pasek, J. Anesrake: ANES raking implementation. (2018).</w:t>
      </w:r>
    </w:p>
    <w:bookmarkEnd w:id="105"/>
    <w:bookmarkStart w:id="107" w:name="ref-MatchThem"/>
    <w:p>
      <w:pPr>
        <w:pStyle w:val="Bibliography"/>
      </w:pPr>
      <w:r>
        <w:t xml:space="preserve">52.</w:t>
      </w:r>
      <w:r>
        <w:t xml:space="preserve"> </w:t>
      </w:r>
      <w:r>
        <w:t xml:space="preserve">	</w:t>
      </w:r>
      <w:r>
        <w:t xml:space="preserve">Pishgar, F., Greifer, N., Leyrat, C. &amp; Stuart, E. MatchThem:: Matching and weighting after multiple imputation. (2021).doi:</w:t>
      </w:r>
      <w:hyperlink r:id="rId106">
        <w:r>
          <w:rPr>
            <w:rStyle w:val="Hyperlink"/>
          </w:rPr>
          <w:t xml:space="preserve">10.32614/RJ-2021-073</w:t>
        </w:r>
      </w:hyperlink>
    </w:p>
    <w:bookmarkEnd w:id="107"/>
    <w:bookmarkStart w:id="109" w:name="ref-survival"/>
    <w:p>
      <w:pPr>
        <w:pStyle w:val="Bibliography"/>
      </w:pPr>
      <w:r>
        <w:t xml:space="preserve">53.</w:t>
      </w:r>
      <w:r>
        <w:t xml:space="preserve"> </w:t>
      </w:r>
      <w:r>
        <w:t xml:space="preserve">	</w:t>
      </w:r>
      <w:r>
        <w:t xml:space="preserve">Therneau, T. M. A package for survival analysis in r. (2024).at &lt;</w:t>
      </w:r>
      <w:hyperlink r:id="rId108">
        <w:r>
          <w:rPr>
            <w:rStyle w:val="Hyperlink"/>
          </w:rPr>
          <w:t xml:space="preserve">https://CRAN.R-project.org/package=survival</w:t>
        </w:r>
      </w:hyperlink>
      <w:r>
        <w:t xml:space="preserve">&gt;</w:t>
      </w:r>
    </w:p>
    <w:bookmarkEnd w:id="109"/>
    <w:bookmarkStart w:id="111" w:name="ref-encore.analytics"/>
    <w:p>
      <w:pPr>
        <w:pStyle w:val="Bibliography"/>
      </w:pPr>
      <w:r>
        <w:t xml:space="preserve">54.</w:t>
      </w:r>
      <w:r>
        <w:t xml:space="preserve"> </w:t>
      </w:r>
      <w:r>
        <w:t xml:space="preserve">	</w:t>
      </w:r>
      <w:r>
        <w:t xml:space="preserve">Weberpals, J. Encore.analytics: Functions and wrappers to streamline complex analytic workflows in real-world data studies based on the ENCORE trial emulation project. (2025).at &lt;</w:t>
      </w:r>
      <w:hyperlink r:id="rId110">
        <w:r>
          <w:rPr>
            <w:rStyle w:val="Hyperlink"/>
          </w:rPr>
          <w:t xml:space="preserve">https://github.com/janickweberpals/encore.analytics</w:t>
        </w:r>
      </w:hyperlink>
      <w:r>
        <w:t xml:space="preserve">&gt;</w:t>
      </w:r>
    </w:p>
    <w:bookmarkEnd w:id="111"/>
    <w:bookmarkStart w:id="113" w:name="ref-gtsummary"/>
    <w:p>
      <w:pPr>
        <w:pStyle w:val="Bibliography"/>
      </w:pPr>
      <w:r>
        <w:t xml:space="preserve">55.</w:t>
      </w:r>
      <w:r>
        <w:t xml:space="preserve"> </w:t>
      </w:r>
      <w:r>
        <w:t xml:space="preserve">	</w:t>
      </w:r>
      <w:r>
        <w:t xml:space="preserve">Sjoberg, D. D., Whiting, K., Curry, M., Lavery, J. A. &amp; Larmarange, J.</w:t>
      </w:r>
      <w:r>
        <w:t xml:space="preserve"> </w:t>
      </w:r>
      <w:hyperlink r:id="rId112">
        <w:r>
          <w:rPr>
            <w:rStyle w:val="Hyperlink"/>
          </w:rPr>
          <w:t xml:space="preserve">Reproducible summary tables with the gtsummary package</w:t>
        </w:r>
      </w:hyperlink>
      <w:r>
        <w:t xml:space="preserve">.</w:t>
      </w:r>
      <w:r>
        <w:t xml:space="preserve"> </w:t>
      </w:r>
      <w:r>
        <w:rPr>
          <w:b/>
          <w:bCs/>
        </w:rPr>
        <w:t xml:space="preserve">13</w:t>
      </w:r>
      <w:r>
        <w:t xml:space="preserve">, 570–580 (2021).</w:t>
      </w:r>
    </w:p>
    <w:bookmarkEnd w:id="113"/>
    <w:bookmarkStart w:id="115" w:name="ref-ggsurvfit"/>
    <w:p>
      <w:pPr>
        <w:pStyle w:val="Bibliography"/>
      </w:pPr>
      <w:r>
        <w:t xml:space="preserve">56.</w:t>
      </w:r>
      <w:r>
        <w:t xml:space="preserve"> </w:t>
      </w:r>
      <w:r>
        <w:t xml:space="preserve">	</w:t>
      </w:r>
      <w:r>
        <w:t xml:space="preserve">Sjoberg, D. D., Baillie, M., Fruechtenicht, C., Haesendonckx, S. &amp; Treis, T. Ggsurvfit: Flexible time-to-event figures. (2024).at &lt;</w:t>
      </w:r>
      <w:hyperlink r:id="rId114">
        <w:r>
          <w:rPr>
            <w:rStyle w:val="Hyperlink"/>
          </w:rPr>
          <w:t xml:space="preserve">https://github.com/pharmaverse/ggsurvfit</w:t>
        </w:r>
      </w:hyperlink>
      <w:r>
        <w:t xml:space="preserve">&gt;</w:t>
      </w:r>
    </w:p>
    <w:bookmarkEnd w:id="115"/>
    <w:bookmarkStart w:id="116" w:name="ref-gaber2024mystifying"/>
    <w:p>
      <w:pPr>
        <w:pStyle w:val="Bibliography"/>
      </w:pPr>
      <w:r>
        <w:t xml:space="preserve">57.</w:t>
      </w:r>
      <w:r>
        <w:t xml:space="preserve"> </w:t>
      </w:r>
      <w:r>
        <w:t xml:space="preserve">	</w:t>
      </w:r>
      <w:r>
        <w:t xml:space="preserve">Gaber, C. E.</w:t>
      </w:r>
      <w:r>
        <w:t xml:space="preserve"> </w:t>
      </w:r>
      <w:r>
        <w:rPr>
          <w:i/>
          <w:iCs/>
        </w:rPr>
        <w:t xml:space="preserve">et al.</w:t>
      </w:r>
      <w:r>
        <w:t xml:space="preserve"> </w:t>
      </w:r>
      <w:r>
        <w:t xml:space="preserve">De-mystifying the clone-censor-weight method for causal research using observational data: A primer for cancer researchers.</w:t>
      </w:r>
      <w:r>
        <w:t xml:space="preserve"> </w:t>
      </w:r>
      <w:r>
        <w:rPr>
          <w:i/>
          <w:iCs/>
        </w:rPr>
        <w:t xml:space="preserve">Cancer Medicine</w:t>
      </w:r>
      <w:r>
        <w:t xml:space="preserve"> </w:t>
      </w:r>
      <w:r>
        <w:rPr>
          <w:b/>
          <w:bCs/>
        </w:rPr>
        <w:t xml:space="preserve">13</w:t>
      </w:r>
      <w:r>
        <w:t xml:space="preserve">, 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2025-07-26T11:50:01Z</dcterms:created>
  <dcterms:modified xsi:type="dcterms:W3CDTF">2025-07-26T11:50:01Z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clinical-pharmacology-and-therapeutics.csl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